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404" w:rsidRPr="005A4C2B" w:rsidRDefault="00D20404" w:rsidP="00D20404">
      <w:pPr>
        <w:spacing w:after="0" w:line="240" w:lineRule="auto"/>
        <w:jc w:val="center"/>
        <w:rPr>
          <w:rFonts w:ascii="Corbel" w:hAnsi="Corbel" w:cs="Corbel"/>
          <w:b/>
          <w:smallCaps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>SYLABUS</w:t>
      </w:r>
    </w:p>
    <w:p w:rsidR="00D20404" w:rsidRPr="005A4C2B" w:rsidRDefault="00D20404" w:rsidP="00D20404">
      <w:pPr>
        <w:spacing w:after="0" w:line="240" w:lineRule="auto"/>
        <w:jc w:val="center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D20404" w:rsidRPr="005A4C2B" w:rsidRDefault="00D20404" w:rsidP="00D20404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528" w:type="dxa"/>
        <w:tblInd w:w="-64" w:type="dxa"/>
        <w:tblLayout w:type="fixed"/>
        <w:tblLook w:val="0000"/>
      </w:tblPr>
      <w:tblGrid>
        <w:gridCol w:w="2694"/>
        <w:gridCol w:w="6834"/>
      </w:tblGrid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Metody oceny kondycji finansowej przedsiębiorstwa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/C.6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 stopień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 / 3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prof. 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dr  hab. Jerzy Kitowsk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>i</w:t>
            </w:r>
          </w:p>
        </w:tc>
      </w:tr>
      <w:tr w:rsidR="00D2040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prof. 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dr  hab. Jerzy Kitowsk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>i</w:t>
            </w:r>
          </w:p>
        </w:tc>
      </w:tr>
    </w:tbl>
    <w:p w:rsidR="00D20404" w:rsidRPr="005A4C2B" w:rsidRDefault="00D20404" w:rsidP="00D20404">
      <w:pPr>
        <w:pStyle w:val="Podpunkty"/>
        <w:spacing w:after="280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D20404" w:rsidRPr="005A4C2B" w:rsidRDefault="00D20404" w:rsidP="00D20404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494" w:type="dxa"/>
        <w:tblInd w:w="-3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292"/>
      </w:tblGrid>
      <w:tr w:rsidR="00D20404" w:rsidRPr="005A4C2B" w:rsidTr="008121B6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D20404" w:rsidRPr="005A4C2B" w:rsidRDefault="00D20404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D20404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D20404" w:rsidRPr="005A4C2B" w:rsidRDefault="00D20404" w:rsidP="00D20404">
      <w:pPr>
        <w:pStyle w:val="Podpunkty"/>
        <w:ind w:left="0"/>
        <w:rPr>
          <w:rFonts w:ascii="Corbel" w:hAnsi="Corbel" w:cs="Corbel"/>
          <w:b w:val="0"/>
          <w:sz w:val="21"/>
          <w:szCs w:val="21"/>
        </w:rPr>
      </w:pPr>
    </w:p>
    <w:p w:rsidR="00D20404" w:rsidRPr="005A4C2B" w:rsidRDefault="00D20404" w:rsidP="00D20404">
      <w:pPr>
        <w:pStyle w:val="Punktygwne"/>
        <w:spacing w:before="0" w:after="0"/>
        <w:ind w:left="284"/>
        <w:rPr>
          <w:rFonts w:ascii="Corbel" w:eastAsia="MS Gothic" w:hAnsi="Corbel" w:cs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D20404" w:rsidRPr="005A4C2B" w:rsidRDefault="00D20404" w:rsidP="00D20404">
      <w:pPr>
        <w:pStyle w:val="Punktygwne"/>
        <w:spacing w:before="0" w:after="0"/>
        <w:rPr>
          <w:rFonts w:ascii="Corbel" w:eastAsia="MS Gothic" w:hAnsi="Corbel" w:cs="MS Gothic"/>
          <w:b w:val="0"/>
          <w:sz w:val="21"/>
          <w:szCs w:val="21"/>
        </w:rPr>
      </w:pPr>
      <w:r w:rsidRPr="005A4C2B">
        <w:rPr>
          <w:rFonts w:ascii="Corbel" w:eastAsia="MS Gothic" w:hAnsi="Corbel" w:cs="Corbel"/>
          <w:sz w:val="21"/>
          <w:szCs w:val="21"/>
        </w:rPr>
        <w:t xml:space="preserve">  x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D20404" w:rsidRPr="005A4C2B" w:rsidRDefault="00D20404" w:rsidP="00D20404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9356" w:type="dxa"/>
        <w:tblInd w:w="108" w:type="dxa"/>
        <w:tblLayout w:type="fixed"/>
        <w:tblLook w:val="0000"/>
      </w:tblPr>
      <w:tblGrid>
        <w:gridCol w:w="9356"/>
      </w:tblGrid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40" w:after="4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Student powinien posiadać wiedzę z finansów przedsiębiorstwa, analizy finansowej oraz z rachunkowości finansowej. Ponadto wymagana jest znajomość aktualnych wydarzeń ze sfery biznesu i gospodarki.</w:t>
            </w:r>
          </w:p>
        </w:tc>
      </w:tr>
    </w:tbl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D20404" w:rsidRPr="005A4C2B" w:rsidRDefault="00D20404" w:rsidP="00D20404">
      <w:pPr>
        <w:pStyle w:val="Podpunkty"/>
        <w:rPr>
          <w:rFonts w:ascii="Corbel" w:hAnsi="Corbel" w:cs="Corbel"/>
          <w:b w:val="0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9385" w:type="dxa"/>
        <w:tblInd w:w="108" w:type="dxa"/>
        <w:tblLayout w:type="fixed"/>
        <w:tblLook w:val="0000"/>
      </w:tblPr>
      <w:tblGrid>
        <w:gridCol w:w="851"/>
        <w:gridCol w:w="8534"/>
      </w:tblGrid>
      <w:tr w:rsidR="00D20404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prawami i metodą  oraz narzędziami analizy ekonomiczno-finansowej.</w:t>
            </w:r>
          </w:p>
        </w:tc>
      </w:tr>
      <w:tr w:rsidR="00D20404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D20404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D20404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D20404" w:rsidRPr="005A4C2B" w:rsidRDefault="00D20404" w:rsidP="00D20404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9356" w:type="dxa"/>
        <w:tblInd w:w="108" w:type="dxa"/>
        <w:tblLayout w:type="fixed"/>
        <w:tblLook w:val="0000"/>
      </w:tblPr>
      <w:tblGrid>
        <w:gridCol w:w="1701"/>
        <w:gridCol w:w="6096"/>
        <w:gridCol w:w="1559"/>
      </w:tblGrid>
      <w:tr w:rsidR="00D2040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D2040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eastAsia="Times New Roman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spacing w:after="0" w:line="240" w:lineRule="auto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eastAsia="Times New Roman" w:hAnsi="Corbel" w:cs="Corbel"/>
                <w:sz w:val="21"/>
                <w:szCs w:val="21"/>
              </w:rPr>
              <w:t>Zna i wykorzystuje zawansowane narzędzia analizy finansowej w ocenie funkcjonowania współczesnego przedsiębiorstwa. Potrafi badać i oceniać wzajemne powiązania i zależności finansowe pomiędzy zmianami zachodzącymi w obrębie przedsiębiorstwa i jego interakcjach z otoczeniem.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K_W05</w:t>
            </w:r>
          </w:p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K_W07</w:t>
            </w:r>
          </w:p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K_W08</w:t>
            </w:r>
          </w:p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</w:p>
        </w:tc>
      </w:tr>
      <w:tr w:rsidR="00D2040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pozyskiwać i analizować dane finansowe ze sprawozdań finansowych, raportów, deklaracji oraz dane uzupełniające do przeprowadzenia analizy finansowej pod kątem istotności, rzetelności, ciągłości i porównywalności. </w:t>
            </w:r>
          </w:p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Na bazie zebranych danych finansowych i pozafinansowych oraz zastosowaniu odpowiednich metod i technik analizy finansowej potrafi wskazywać optymalne sposoby i rozwiązania dla poprawy standingu finansowego.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K_U03</w:t>
            </w:r>
          </w:p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K_U06</w:t>
            </w:r>
          </w:p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K_U07</w:t>
            </w:r>
          </w:p>
        </w:tc>
      </w:tr>
      <w:tr w:rsidR="00D2040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Wykazuje obiektywizm i niezależność myślenia w ocenie wyników przeprowadzonej analizy i wysuwania postulatów pod potrzeby planowania finansowego w perspektywie średnio i długookresowej.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K_K01</w:t>
            </w:r>
          </w:p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K_K02</w:t>
            </w:r>
          </w:p>
          <w:p w:rsidR="00D20404" w:rsidRPr="005A4C2B" w:rsidRDefault="00D20404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K_K04</w:t>
            </w:r>
          </w:p>
        </w:tc>
      </w:tr>
    </w:tbl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D20404" w:rsidRPr="005A4C2B" w:rsidRDefault="00D20404" w:rsidP="00D20404">
      <w:pPr>
        <w:pStyle w:val="Akapitzlist"/>
        <w:spacing w:after="0" w:line="240" w:lineRule="auto"/>
        <w:ind w:left="426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sz w:val="21"/>
          <w:szCs w:val="21"/>
        </w:rPr>
        <w:t>wypełnia koordynator)</w:t>
      </w:r>
    </w:p>
    <w:p w:rsidR="00D20404" w:rsidRPr="005A4C2B" w:rsidRDefault="00D20404" w:rsidP="00D20404">
      <w:pPr>
        <w:pStyle w:val="Akapitzlist"/>
        <w:numPr>
          <w:ilvl w:val="0"/>
          <w:numId w:val="3"/>
        </w:numPr>
        <w:suppressAutoHyphens/>
        <w:spacing w:after="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9356" w:type="dxa"/>
        <w:tblInd w:w="108" w:type="dxa"/>
        <w:tblLayout w:type="fixed"/>
        <w:tblLook w:val="0000"/>
      </w:tblPr>
      <w:tblGrid>
        <w:gridCol w:w="9356"/>
      </w:tblGrid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Klasyfikacja syntetycznych metod oceny kondycji finansowej przedsiębiorstwa.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Metody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logitowe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skwantyfikowana oceny zdolności kredytowej przedsiębiorstwa.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Zmodyfikowana punktowa metoda oceny kondycji finansowej – na przykładzie metody Banku PKO BP.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Zmodyfikowana punktowa metoda oceny kondycji finansowej – na przykładzie metody Banku Ochrony Środowiska S.A.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Zmodyfikowana punktowa metoda oceny kondycji finansowej – na przykładzie metody Podkarpackiego Banku Spółdzielczego.</w:t>
            </w:r>
          </w:p>
        </w:tc>
      </w:tr>
    </w:tbl>
    <w:p w:rsidR="00D20404" w:rsidRPr="005A4C2B" w:rsidRDefault="00D20404" w:rsidP="00D20404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D20404" w:rsidRPr="005A4C2B" w:rsidRDefault="00D20404" w:rsidP="00D20404">
      <w:pPr>
        <w:pStyle w:val="Akapitzlist"/>
        <w:numPr>
          <w:ilvl w:val="0"/>
          <w:numId w:val="3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9356" w:type="dxa"/>
        <w:tblInd w:w="108" w:type="dxa"/>
        <w:tblLayout w:type="fixed"/>
        <w:tblLook w:val="0000"/>
      </w:tblPr>
      <w:tblGrid>
        <w:gridCol w:w="9356"/>
      </w:tblGrid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Zastosowanie metod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logitowych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skwantyfikowanej oceny zdolności kredytowej przedsiębiorstwa.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zmodyfikowanej punktowej metody oceny kondycji finansowej – na przykładzie metody Banku PKO BP.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zmodyfikowanej punktowej metody oceny kondycji finansowej – na przykładzie metody Banku Ochrony Środowiska S.A.</w:t>
            </w:r>
          </w:p>
        </w:tc>
      </w:tr>
      <w:tr w:rsidR="00D20404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zmodyfikowanej punktowej metody oceny kondycji finansowej – na przykładzie metody Podkarpackiego Banku Spółdzielczego.</w:t>
            </w:r>
          </w:p>
        </w:tc>
      </w:tr>
    </w:tbl>
    <w:p w:rsidR="00D20404" w:rsidRPr="005A4C2B" w:rsidRDefault="00D20404" w:rsidP="00D20404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lastRenderedPageBreak/>
        <w:t>3.4 Metody dydaktyczne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</w:t>
      </w: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Wykład z prezentacją multimedialną.</w:t>
      </w:r>
    </w:p>
    <w:p w:rsidR="00D20404" w:rsidRPr="005A4C2B" w:rsidRDefault="00D20404" w:rsidP="00D2040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finansowych, aktów prawnych oraz tekstów źródłowych, rozwiązywanie zadań i praca w grupach.</w:t>
      </w:r>
    </w:p>
    <w:p w:rsidR="00D20404" w:rsidRPr="005A4C2B" w:rsidRDefault="00D20404" w:rsidP="00D2040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20404" w:rsidRPr="005A4C2B" w:rsidRDefault="00D20404" w:rsidP="00D20404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D20404" w:rsidRPr="005A4C2B" w:rsidRDefault="00D20404" w:rsidP="00D20404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9072" w:type="dxa"/>
        <w:tblInd w:w="108" w:type="dxa"/>
        <w:tblLayout w:type="fixed"/>
        <w:tblLook w:val="0000"/>
      </w:tblPr>
      <w:tblGrid>
        <w:gridCol w:w="1843"/>
        <w:gridCol w:w="5670"/>
        <w:gridCol w:w="1559"/>
      </w:tblGrid>
      <w:tr w:rsidR="00D2040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2040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2040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2040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20404" w:rsidRPr="005A4C2B" w:rsidRDefault="00D20404" w:rsidP="00D2040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D20404" w:rsidRPr="005A4C2B" w:rsidRDefault="00D20404" w:rsidP="00D2040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D20404" w:rsidRPr="005A4C2B" w:rsidTr="008121B6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D20404" w:rsidRPr="005A4C2B" w:rsidRDefault="00D20404" w:rsidP="00D2040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 1 kolokwium,</w:t>
            </w:r>
          </w:p>
          <w:p w:rsidR="00D20404" w:rsidRPr="005A4C2B" w:rsidRDefault="00D20404" w:rsidP="00D2040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 1 praca zespołowa,</w:t>
            </w:r>
          </w:p>
          <w:p w:rsidR="00D20404" w:rsidRPr="005A4C2B" w:rsidRDefault="00D20404" w:rsidP="00D2040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D20404" w:rsidRPr="005A4C2B" w:rsidRDefault="00D20404" w:rsidP="00D2040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egzamin pisemny składający się z części opisowej i zadaniowej.</w:t>
            </w:r>
          </w:p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D20404" w:rsidRPr="005A4C2B" w:rsidRDefault="00D20404" w:rsidP="00D20404">
      <w:pPr>
        <w:pStyle w:val="Bezodstpw"/>
        <w:ind w:left="284" w:hanging="284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072" w:type="dxa"/>
        <w:tblInd w:w="108" w:type="dxa"/>
        <w:tblLayout w:type="fixed"/>
        <w:tblLook w:val="0000"/>
      </w:tblPr>
      <w:tblGrid>
        <w:gridCol w:w="4962"/>
        <w:gridCol w:w="4110"/>
      </w:tblGrid>
      <w:tr w:rsidR="00D2040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2040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D2040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D2040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40</w:t>
            </w:r>
          </w:p>
        </w:tc>
      </w:tr>
      <w:tr w:rsidR="00D2040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75</w:t>
            </w:r>
          </w:p>
        </w:tc>
      </w:tr>
      <w:tr w:rsidR="00D2040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3</w:t>
            </w:r>
          </w:p>
        </w:tc>
      </w:tr>
    </w:tbl>
    <w:p w:rsidR="00D20404" w:rsidRPr="005A4C2B" w:rsidRDefault="00D20404" w:rsidP="00D20404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20404" w:rsidRPr="005A4C2B" w:rsidRDefault="00D20404" w:rsidP="00D2040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4943" w:type="pct"/>
        <w:tblLook w:val="0000"/>
      </w:tblPr>
      <w:tblGrid>
        <w:gridCol w:w="4349"/>
        <w:gridCol w:w="4833"/>
      </w:tblGrid>
      <w:tr w:rsidR="00D20404" w:rsidRPr="005A4C2B" w:rsidTr="008121B6">
        <w:trPr>
          <w:trHeight w:val="397"/>
        </w:trPr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20404" w:rsidRPr="005A4C2B" w:rsidTr="008121B6">
        <w:trPr>
          <w:trHeight w:val="397"/>
        </w:trPr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D20404" w:rsidRPr="005A4C2B" w:rsidRDefault="00D20404" w:rsidP="00D2040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4943" w:type="pct"/>
        <w:tblLook w:val="0000"/>
      </w:tblPr>
      <w:tblGrid>
        <w:gridCol w:w="9182"/>
      </w:tblGrid>
      <w:tr w:rsidR="00D20404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Literatura podstawowa:</w:t>
            </w:r>
          </w:p>
          <w:p w:rsidR="00D20404" w:rsidRPr="005A4C2B" w:rsidRDefault="00D20404" w:rsidP="00D20404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Kitowski J., Metody dyskryminacyjne jako instrument oceny zagrożenia upadłością przedsiębiorstwa, Wyd. Uniwersytetu Rzeszowskiego, Rzeszów 2015.</w:t>
            </w:r>
          </w:p>
          <w:p w:rsidR="00D20404" w:rsidRPr="005A4C2B" w:rsidRDefault="00D20404" w:rsidP="00D20404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Korol T., Systemy ostrzegania przedsiębiorstw przed ryzykiem upadłości, Oficyna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business, Warszawa 2010.</w:t>
            </w:r>
          </w:p>
          <w:p w:rsidR="00D20404" w:rsidRPr="005A4C2B" w:rsidRDefault="00D20404" w:rsidP="00D20404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Kowalak R., Ocena kondycji finansowej przedsiębiorstwa,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2008.</w:t>
            </w:r>
          </w:p>
        </w:tc>
      </w:tr>
      <w:tr w:rsidR="00D20404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404" w:rsidRPr="005A4C2B" w:rsidRDefault="00D2040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Literatura uzupełniająca:</w:t>
            </w:r>
          </w:p>
          <w:p w:rsidR="00D20404" w:rsidRPr="005A4C2B" w:rsidRDefault="00D20404" w:rsidP="00D20404">
            <w:pPr>
              <w:pStyle w:val="Punktygwne"/>
              <w:numPr>
                <w:ilvl w:val="0"/>
                <w:numId w:val="2"/>
              </w:numPr>
              <w:suppressAutoHyphens/>
              <w:spacing w:before="0" w:after="0"/>
              <w:ind w:left="36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Antonowicz P., Metody oceny i prognoza kondycji ekonomiczno-finansowej przedsiębiorstw.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lastRenderedPageBreak/>
              <w:t>ODiDK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2007.</w:t>
            </w:r>
          </w:p>
          <w:p w:rsidR="00D20404" w:rsidRPr="005A4C2B" w:rsidRDefault="00D20404" w:rsidP="00D20404">
            <w:pPr>
              <w:pStyle w:val="Punktygwne"/>
              <w:numPr>
                <w:ilvl w:val="0"/>
                <w:numId w:val="2"/>
              </w:numPr>
              <w:suppressAutoHyphens/>
              <w:spacing w:before="0" w:after="0"/>
              <w:ind w:left="36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Zalewska M., Ocena kondycji finansowej przedsiębiorstwa przez analityka bankowego, Szkoła Główna Handlowa - Oficyna Wydawnicza, Warszawa 2012.</w:t>
            </w:r>
          </w:p>
        </w:tc>
      </w:tr>
    </w:tbl>
    <w:p w:rsidR="00D20404" w:rsidRPr="005A4C2B" w:rsidRDefault="00D20404" w:rsidP="00D2040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lastRenderedPageBreak/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514A4164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/>
        <w:caps w:val="0"/>
        <w:smallCaps w:val="0"/>
        <w:sz w:val="22"/>
      </w:rPr>
    </w:lvl>
  </w:abstractNum>
  <w:abstractNum w:abstractNumId="2">
    <w:nsid w:val="5313511C"/>
    <w:multiLevelType w:val="hybridMultilevel"/>
    <w:tmpl w:val="DF6265FC"/>
    <w:name w:val="WW8Num222"/>
    <w:lvl w:ilvl="0" w:tplc="0F046BE4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50C62"/>
    <w:multiLevelType w:val="hybridMultilevel"/>
    <w:tmpl w:val="72CA181A"/>
    <w:name w:val="WW8Num122"/>
    <w:lvl w:ilvl="0" w:tplc="8640AA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0404"/>
    <w:rsid w:val="0098137D"/>
    <w:rsid w:val="00D2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0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0404"/>
    <w:pPr>
      <w:ind w:left="720"/>
      <w:contextualSpacing/>
    </w:pPr>
  </w:style>
  <w:style w:type="paragraph" w:customStyle="1" w:styleId="Default">
    <w:name w:val="Default"/>
    <w:uiPriority w:val="99"/>
    <w:rsid w:val="00D204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040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040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040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040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040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040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040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04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040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04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040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1061</Words>
  <Characters>6371</Characters>
  <Application>Microsoft Office Word</Application>
  <DocSecurity>0</DocSecurity>
  <Lines>53</Lines>
  <Paragraphs>14</Paragraphs>
  <ScaleCrop>false</ScaleCrop>
  <Company/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2019-02-03T18:56:00Z</dcterms:created>
  <dcterms:modified xsi:type="dcterms:W3CDTF">2019-02-03T18:56:00Z</dcterms:modified>
</cp:coreProperties>
</file>